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DC2822">
        <w:rPr>
          <w:lang w:val="ru-MO"/>
        </w:rPr>
        <w:t>2</w:t>
      </w:r>
    </w:p>
    <w:p w:rsidR="00CF5CC9" w:rsidRPr="00DC2822" w:rsidRDefault="00DC2822" w:rsidP="00CF5CC9">
      <w:pPr>
        <w:spacing w:after="0" w:line="240" w:lineRule="auto"/>
        <w:jc w:val="center"/>
        <w:rPr>
          <w:lang w:val="ru-MO"/>
        </w:rPr>
      </w:pPr>
      <w:r w:rsidRPr="00DC2822">
        <w:t>ОПРЕДЕЛЕНИЕ ТИПА ТОННЕЛЬНОЙ ОБДЕЛКИ И ПОДБОР РАЗМЕРОВ ЭЛЕМЕНТОВ ПОПЕРЕЧНОГО СЕЧЕНИЯ</w:t>
      </w:r>
    </w:p>
    <w:p w:rsidR="00CF5CC9" w:rsidRDefault="00CF5CC9" w:rsidP="00CF5CC9">
      <w:pPr>
        <w:spacing w:after="0" w:line="240" w:lineRule="auto"/>
        <w:jc w:val="center"/>
      </w:pPr>
    </w:p>
    <w:p w:rsidR="00CF5CC9" w:rsidRPr="00DC2822" w:rsidRDefault="00CF5CC9" w:rsidP="0043442A">
      <w:pPr>
        <w:spacing w:after="0" w:line="240" w:lineRule="auto"/>
        <w:ind w:firstLine="708"/>
        <w:rPr>
          <w:highlight w:val="yellow"/>
        </w:rPr>
      </w:pPr>
      <w:r w:rsidRPr="00DC2822">
        <w:rPr>
          <w:highlight w:val="yellow"/>
        </w:rPr>
        <w:t xml:space="preserve">Задание. </w:t>
      </w:r>
      <w:r w:rsidR="0043442A" w:rsidRPr="00DC2822">
        <w:rPr>
          <w:highlight w:val="yellow"/>
        </w:rPr>
        <w:t>По рисунку произвести классификацию инженерного сооружения на автомобильной дороге в следующем порядке:</w:t>
      </w:r>
    </w:p>
    <w:p w:rsidR="0043442A" w:rsidRDefault="003661EF" w:rsidP="005143C2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301078" cy="3155001"/>
            <wp:effectExtent l="0" t="0" r="0" b="7620"/>
            <wp:docPr id="1" name="Рисунок 1" descr="C:\Users\1\Desktop\Лекции ИСТС 2016\Новая папка\фото\00abc1adc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Новая папка\фото\00abc1adc1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542" cy="315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Проектирование вариантов тоннельной обделки зависит от показателей: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- коэффициент крепости породы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>;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- водоприток</w:t>
      </w:r>
      <w:r>
        <w:rPr>
          <w:rFonts w:eastAsia="Times New Roman" w:cs="Times New Roman"/>
          <w:color w:val="auto"/>
          <w:szCs w:val="28"/>
          <w:lang w:eastAsia="ru-RU"/>
        </w:rPr>
        <w:t>а</w:t>
      </w:r>
      <w:r w:rsidRPr="000241F8">
        <w:rPr>
          <w:rFonts w:eastAsia="Times New Roman" w:cs="Times New Roman"/>
          <w:color w:val="auto"/>
          <w:szCs w:val="28"/>
          <w:lang w:eastAsia="ru-RU"/>
        </w:rPr>
        <w:t>;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- коэффициент упругого отпора породы;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- способ строительства;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В скальных породах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слабообводненных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рекомендуются сводчатые тоннельные обделки: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15 … 6 –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свод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опертый на породу;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3… 6 –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свод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опертый на стену;</w:t>
      </w:r>
      <w:r w:rsidR="00736512">
        <w:rPr>
          <w:rFonts w:eastAsia="Times New Roman" w:cs="Times New Roman"/>
          <w:color w:val="auto"/>
          <w:szCs w:val="28"/>
          <w:lang w:eastAsia="ru-RU"/>
        </w:rPr>
        <w:t xml:space="preserve"> </w:t>
      </w:r>
      <w:r w:rsidRPr="000241F8">
        <w:rPr>
          <w:rFonts w:eastAsia="Times New Roman" w:cs="Times New Roman"/>
          <w:color w:val="auto"/>
          <w:szCs w:val="28"/>
          <w:lang w:eastAsia="ru-RU"/>
        </w:rPr>
        <w:tab/>
        <w:t>(гибкие или жёсткие)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4…</w:t>
      </w:r>
      <w:r w:rsidR="00736512">
        <w:rPr>
          <w:rFonts w:eastAsia="Times New Roman" w:cs="Times New Roman"/>
          <w:color w:val="auto"/>
          <w:szCs w:val="28"/>
          <w:lang w:eastAsia="ru-RU"/>
        </w:rPr>
        <w:t xml:space="preserve">7 – подъёмный свод </w:t>
      </w:r>
      <w:r w:rsidRPr="000241F8">
        <w:rPr>
          <w:rFonts w:eastAsia="Times New Roman" w:cs="Times New Roman"/>
          <w:color w:val="auto"/>
          <w:szCs w:val="28"/>
          <w:lang w:eastAsia="ru-RU"/>
        </w:rPr>
        <w:t>(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подковообразные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)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В мягких породах с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водопритоком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рекомендуются кольцевые тоннельные обделки: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3… 5 – (слабый или средний водоприток) кольцо в упругой среде, монолитные пресс-бетонные или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сборные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обжатые в породу, стыки сборных элементов без связей растяжения; 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1 – 2 –(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средний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водоприток) свободно-деформируемое кольцо, сборные железобетонные из блоков или тюбингов со стыками и                                  связями растяжения;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lastRenderedPageBreak/>
        <w:t xml:space="preserve">- при –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&gt; 1 – (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сильный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водоприток) свободно-деформируемое кольцо из сборных или чугунных тюбингов с обжатыми стыками.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Выбор материалов для тоннельной обделки. Основным материалом для тоннельной обделки в скальных породах является монолитный бетон по классам прочности В20… В40.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Однако в ряде случаев может оказаться целесообразным применение сборного бетона классов В40… В60 для обделок кругового поперечного сечения и для сводов обделок подковообразной формы. Стены и лотковые элементы подковообразной формы следует всегда проектировать из монолитного бетона. В обводнённых породах допускается применение чугунных тюбингов (чугун марки С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4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). В этом случае может быть предложена обделка круговой формы из тюбинговых колец или свод из тюбингов, опирающийся на массивные бетонные стены. В последнем случае следует предусматривать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металлоизоляцию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стен и лоткового элемента обделки.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Для армирования элементов сборной обделки используют арматурную сталь классов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AII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,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AIII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. 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Элементы сборной обделки со связями растяжения в стыках (железобетонные и чугунные тюбинги) соединяют с помощью болтов классов 4.6, 4.8, 5.6, 5.8 диаметром 20… 48 мм. Болтовые гайки во всех случаях принимают класса 4.6.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В качестве рулонных гидроизоляционных материалов для внутренней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оклеечной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изоляции монолитных обделок в обводнённых породах применяется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гидроизол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на горячей битумной мастике (4… 6 слоев),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стеклобит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(2… 3 слоя) или другие виды термопластичной гидроизоляции.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>
        <w:rPr>
          <w:rFonts w:eastAsia="Times New Roman" w:cs="Times New Roman"/>
          <w:noProof/>
          <w:color w:val="auto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601980</wp:posOffset>
                </wp:positionV>
                <wp:extent cx="1943100" cy="0"/>
                <wp:effectExtent l="9525" t="11430" r="9525" b="762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47.4pt" to="279pt,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"/>
            </w:pict>
          </mc:Fallback>
        </mc:AlternateContent>
      </w: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Назначение внутреннего контура тоннельной обделки обхватывающего габарит приближение строений. При этом для кругового сечения внутренний радиус вычисляется по формуле,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м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         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R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>= 0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,1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+</w:t>
      </w:r>
      <w:r w:rsidRPr="000241F8">
        <w:rPr>
          <w:rFonts w:eastAsia="Times New Roman" w:cs="Times New Roman"/>
          <w:color w:val="auto"/>
          <w:sz w:val="30"/>
          <w:szCs w:val="30"/>
          <w:lang w:eastAsia="ru-RU"/>
        </w:rPr>
        <w:t>√</w:t>
      </w:r>
      <w:r w:rsidRPr="000241F8">
        <w:rPr>
          <w:rFonts w:eastAsia="Times New Roman" w:cs="Times New Roman"/>
          <w:color w:val="auto"/>
          <w:szCs w:val="28"/>
          <w:lang w:eastAsia="ru-RU"/>
        </w:rPr>
        <w:t>0,2556Г</w:t>
      </w:r>
      <w:r w:rsidRPr="000241F8">
        <w:rPr>
          <w:rFonts w:eastAsia="Times New Roman" w:cs="Times New Roman"/>
          <w:color w:val="auto"/>
          <w:szCs w:val="28"/>
          <w:vertAlign w:val="superscript"/>
          <w:lang w:eastAsia="ru-RU"/>
        </w:rPr>
        <w:t>2</w:t>
      </w:r>
      <w:r w:rsidRPr="000241F8">
        <w:rPr>
          <w:rFonts w:eastAsia="Times New Roman" w:cs="Times New Roman"/>
          <w:color w:val="auto"/>
          <w:szCs w:val="28"/>
          <w:lang w:eastAsia="ru-RU"/>
        </w:rPr>
        <w:t>+0,0383Г+6,5344;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а расстояние от верха габарита приближения строений до центра окружности внутреннего очертания – по формуле,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м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: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Х</w:t>
      </w:r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>с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>= 2.566 + 0.075 Г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Значение Г подставляют в метрах.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Для обделок подковообразного очертания расстояния  в свету между боковыми стенами обделки следует принимать по полной ширине габарита приближения строений, а свод должен иметь отношение стрелы к пролету 0.25 - 0.30. Между линиями и характерными точками габарита приближения строений и проектным внутренним очертанием обделки должен быть оставлен зазор, равный 0.1 м, что обусловлено возможными неточностями при проходке тоннеля и возведения его обделки.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Внутренние поперечное очертание тоннеля не учитывает необходимости размещения приточного и вытяжного каналов поперечной вентиляции. После определения площадей поперечного сечения этих каналов следует проверить возможность их размещения внутри тоннеля и в необходимых случаях скорректировать размеры внутреннего поперечного очертания тоннеля.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lastRenderedPageBreak/>
        <w:t>Габарит приближения строений автодорожного тоннеля приведён на рисунке 4.1.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Пример построения внутреннего контура тоннеля на рисунке 4.2.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Назначение толщины и других размеров обделки. Предварительно толщину свода монолитной бетонной обделки в замке назначают в соответствии с данными таблицы 4.1.</w:t>
      </w:r>
    </w:p>
    <w:p w:rsidR="000241F8" w:rsidRPr="000241F8" w:rsidRDefault="000241F8" w:rsidP="000241F8">
      <w:pPr>
        <w:spacing w:after="0" w:line="240" w:lineRule="auto"/>
        <w:ind w:firstLine="708"/>
        <w:jc w:val="right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Таблица 4.1.</w:t>
      </w:r>
    </w:p>
    <w:tbl>
      <w:tblPr>
        <w:tblStyle w:val="a6"/>
        <w:tblW w:w="0" w:type="auto"/>
        <w:tblLayout w:type="fixed"/>
        <w:tblLook w:val="01E0" w:firstRow="1" w:lastRow="1" w:firstColumn="1" w:lastColumn="1" w:noHBand="0" w:noVBand="0"/>
      </w:tblPr>
      <w:tblGrid>
        <w:gridCol w:w="3348"/>
        <w:gridCol w:w="1440"/>
        <w:gridCol w:w="1620"/>
        <w:gridCol w:w="1620"/>
        <w:gridCol w:w="1543"/>
      </w:tblGrid>
      <w:tr w:rsidR="000241F8" w:rsidRPr="000241F8" w:rsidTr="00263958">
        <w:tc>
          <w:tcPr>
            <w:tcW w:w="3348" w:type="dxa"/>
            <w:vMerge w:val="restart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Параметр</w:t>
            </w:r>
          </w:p>
          <w:p w:rsidR="000241F8" w:rsidRPr="000241F8" w:rsidRDefault="000241F8" w:rsidP="000241F8">
            <w:pPr>
              <w:jc w:val="center"/>
              <w:rPr>
                <w:szCs w:val="28"/>
              </w:rPr>
            </w:pPr>
          </w:p>
        </w:tc>
        <w:tc>
          <w:tcPr>
            <w:tcW w:w="6223" w:type="dxa"/>
            <w:gridSpan w:val="4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Коэффициент крепости породы</w:t>
            </w:r>
            <w:r w:rsidRPr="000241F8">
              <w:rPr>
                <w:szCs w:val="28"/>
                <w:lang w:val="en-US"/>
              </w:rPr>
              <w:t xml:space="preserve"> f</w:t>
            </w:r>
          </w:p>
        </w:tc>
      </w:tr>
      <w:tr w:rsidR="000241F8" w:rsidRPr="000241F8" w:rsidTr="00263958">
        <w:tc>
          <w:tcPr>
            <w:tcW w:w="3348" w:type="dxa"/>
            <w:vMerge/>
          </w:tcPr>
          <w:p w:rsidR="000241F8" w:rsidRPr="000241F8" w:rsidRDefault="000241F8" w:rsidP="000241F8">
            <w:pPr>
              <w:jc w:val="both"/>
              <w:rPr>
                <w:szCs w:val="28"/>
              </w:rPr>
            </w:pPr>
          </w:p>
        </w:tc>
        <w:tc>
          <w:tcPr>
            <w:tcW w:w="1440" w:type="dxa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2</w:t>
            </w:r>
          </w:p>
        </w:tc>
        <w:tc>
          <w:tcPr>
            <w:tcW w:w="1620" w:type="dxa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3</w:t>
            </w:r>
          </w:p>
        </w:tc>
        <w:tc>
          <w:tcPr>
            <w:tcW w:w="1620" w:type="dxa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4</w:t>
            </w:r>
          </w:p>
        </w:tc>
        <w:tc>
          <w:tcPr>
            <w:tcW w:w="1543" w:type="dxa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5</w:t>
            </w:r>
          </w:p>
        </w:tc>
      </w:tr>
      <w:tr w:rsidR="000241F8" w:rsidRPr="000241F8" w:rsidTr="00263958">
        <w:tc>
          <w:tcPr>
            <w:tcW w:w="3348" w:type="dxa"/>
          </w:tcPr>
          <w:p w:rsidR="000241F8" w:rsidRPr="000241F8" w:rsidRDefault="000241F8" w:rsidP="000241F8">
            <w:pPr>
              <w:jc w:val="both"/>
              <w:rPr>
                <w:szCs w:val="28"/>
              </w:rPr>
            </w:pPr>
            <w:r w:rsidRPr="000241F8">
              <w:rPr>
                <w:szCs w:val="28"/>
              </w:rPr>
              <w:t xml:space="preserve">Толщина свода обделки в замке </w:t>
            </w:r>
            <w:r w:rsidRPr="000241F8">
              <w:rPr>
                <w:szCs w:val="28"/>
                <w:lang w:val="en-US"/>
              </w:rPr>
              <w:t>d</w:t>
            </w:r>
            <w:r w:rsidRPr="000241F8">
              <w:rPr>
                <w:szCs w:val="28"/>
                <w:vertAlign w:val="subscript"/>
              </w:rPr>
              <w:t>0</w:t>
            </w:r>
            <w:r w:rsidRPr="000241F8">
              <w:rPr>
                <w:szCs w:val="28"/>
              </w:rPr>
              <w:t>, мм</w:t>
            </w:r>
          </w:p>
        </w:tc>
        <w:tc>
          <w:tcPr>
            <w:tcW w:w="1440" w:type="dxa"/>
            <w:vAlign w:val="center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1100</w:t>
            </w:r>
          </w:p>
        </w:tc>
        <w:tc>
          <w:tcPr>
            <w:tcW w:w="1620" w:type="dxa"/>
            <w:vAlign w:val="center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900</w:t>
            </w:r>
          </w:p>
        </w:tc>
        <w:tc>
          <w:tcPr>
            <w:tcW w:w="1620" w:type="dxa"/>
            <w:vAlign w:val="center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750</w:t>
            </w:r>
          </w:p>
        </w:tc>
        <w:tc>
          <w:tcPr>
            <w:tcW w:w="1543" w:type="dxa"/>
            <w:vAlign w:val="center"/>
          </w:tcPr>
          <w:p w:rsidR="000241F8" w:rsidRPr="000241F8" w:rsidRDefault="000241F8" w:rsidP="000241F8">
            <w:pPr>
              <w:jc w:val="center"/>
              <w:rPr>
                <w:szCs w:val="28"/>
              </w:rPr>
            </w:pPr>
            <w:r w:rsidRPr="000241F8">
              <w:rPr>
                <w:szCs w:val="28"/>
              </w:rPr>
              <w:t>600</w:t>
            </w:r>
          </w:p>
        </w:tc>
      </w:tr>
    </w:tbl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Значения, приведенные в таблице 4.1, соответствуют бетону класса В30; при бетоне класса В20 эти значения следует увеличить на 15… 20 %, а при бетоне класса В40 –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на столько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же уменьшить.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При назначении толщины бетонных элементов обделки можно руководствоваться следующими соотношениями: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- толщина свода в пяте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толщина обратного свода (при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&lt; 2)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толщина плоского лотка (при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3…4)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толщина конструктивного лотка (при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&gt; 4)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- толщина стен обделки</w:t>
      </w:r>
    </w:p>
    <w:p w:rsidR="000241F8" w:rsidRPr="000241F8" w:rsidRDefault="000241F8" w:rsidP="000241F8">
      <w:pPr>
        <w:spacing w:after="0" w:line="240" w:lineRule="auto"/>
        <w:ind w:firstLine="708"/>
        <w:jc w:val="both"/>
        <w:rPr>
          <w:rFonts w:eastAsia="Times New Roman" w:cs="Times New Roman"/>
          <w:color w:val="auto"/>
          <w:szCs w:val="28"/>
          <w:vertAlign w:val="subscript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Ширина подошвы стены 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b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c</w:t>
      </w:r>
      <w:proofErr w:type="spellEnd"/>
      <w:proofErr w:type="gramStart"/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>т</w:t>
      </w:r>
      <w:proofErr w:type="gramEnd"/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 xml:space="preserve"> 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составляет, как правило, (1.1… 1.3)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c</w:t>
      </w:r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>т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>При этом толщина уширяющей бетонную стену в подошве консоли должна быть не менее 1.75 (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b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c</w:t>
      </w:r>
      <w:proofErr w:type="spellEnd"/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>т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- 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c</w:t>
      </w:r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>т</w:t>
      </w:r>
      <w:proofErr w:type="gramStart"/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 xml:space="preserve"> </w:t>
      </w:r>
      <w:r w:rsidRPr="000241F8">
        <w:rPr>
          <w:rFonts w:eastAsia="Times New Roman" w:cs="Times New Roman"/>
          <w:color w:val="auto"/>
          <w:szCs w:val="28"/>
          <w:lang w:eastAsia="ru-RU"/>
        </w:rPr>
        <w:t>)</w:t>
      </w:r>
      <w:proofErr w:type="gramEnd"/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При конструировании обратного свода его осевой радиус назначают в 1.5… 2 раза больше, чем осевой радиус верхнего свода обделки.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Толщина элементов сборных круговых обделок предварительно может быть определена по формулам,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мм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для обделок из железобетонных тюбингов: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>
        <w:rPr>
          <w:rFonts w:eastAsia="Times New Roman" w:cs="Times New Roman"/>
          <w:noProof/>
          <w:color w:val="auto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19050</wp:posOffset>
                </wp:positionV>
                <wp:extent cx="457200" cy="0"/>
                <wp:effectExtent l="9525" t="9525" r="9525" b="952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5pt" to="117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"/>
            </w:pict>
          </mc:Fallback>
        </mc:AlternateContent>
      </w:r>
      <w:r w:rsidRPr="000241F8">
        <w:rPr>
          <w:rFonts w:eastAsia="Times New Roman" w:cs="Times New Roman"/>
          <w:color w:val="auto"/>
          <w:szCs w:val="28"/>
          <w:lang w:eastAsia="ru-RU"/>
        </w:rPr>
        <w:tab/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h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=75</w:t>
      </w:r>
      <w:r w:rsidRPr="000241F8">
        <w:rPr>
          <w:rFonts w:eastAsia="Times New Roman" w:cs="Times New Roman"/>
          <w:color w:val="auto"/>
          <w:szCs w:val="28"/>
          <w:vertAlign w:val="superscript"/>
          <w:lang w:eastAsia="ru-RU"/>
        </w:rPr>
        <w:t>3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√ 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perscript"/>
          <w:lang w:eastAsia="ru-RU"/>
        </w:rPr>
        <w:t>2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/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 для обделок из чугунных тюбингов: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h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= 4 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>;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для обделок из железобетонных блоков с центрированными стыками (при 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spellEnd"/>
      <w:r w:rsidRPr="000241F8">
        <w:rPr>
          <w:rFonts w:eastAsia="Times New Roman" w:cs="Times New Roman"/>
          <w:color w:val="auto"/>
          <w:szCs w:val="28"/>
          <w:vertAlign w:val="subscript"/>
          <w:lang w:eastAsia="ru-RU"/>
        </w:rPr>
        <w:t xml:space="preserve"> </w:t>
      </w:r>
      <w:r w:rsidRPr="000241F8">
        <w:rPr>
          <w:rFonts w:eastAsia="Times New Roman" w:cs="Times New Roman"/>
          <w:color w:val="auto"/>
          <w:szCs w:val="28"/>
          <w:lang w:eastAsia="ru-RU"/>
        </w:rPr>
        <w:t>= 9… 12)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val="en-US" w:eastAsia="ru-RU"/>
        </w:rPr>
      </w:pPr>
      <w:r w:rsidRPr="000241F8">
        <w:rPr>
          <w:rFonts w:eastAsia="Times New Roman" w:cs="Times New Roman"/>
          <w:color w:val="auto"/>
          <w:szCs w:val="28"/>
          <w:lang w:val="en-US" w:eastAsia="ru-RU"/>
        </w:rPr>
        <w:tab/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ab/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ab/>
      </w:r>
      <w:proofErr w:type="spellStart"/>
      <w:proofErr w:type="gram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h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spellEnd"/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=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 xml:space="preserve"> 150 +</w:t>
      </w:r>
      <w:r w:rsidRPr="000241F8">
        <w:rPr>
          <w:rFonts w:eastAsia="Times New Roman" w:cs="Times New Roman"/>
          <w:color w:val="auto"/>
          <w:szCs w:val="28"/>
          <w:u w:val="single"/>
          <w:lang w:val="en-US" w:eastAsia="ru-RU"/>
        </w:rPr>
        <w:t xml:space="preserve"> </w:t>
      </w:r>
      <w:proofErr w:type="spellStart"/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proofErr w:type="spellEnd"/>
      <w:r w:rsidRPr="000241F8">
        <w:rPr>
          <w:rFonts w:eastAsia="Times New Roman" w:cs="Times New Roman"/>
          <w:color w:val="auto"/>
          <w:sz w:val="40"/>
          <w:szCs w:val="40"/>
          <w:lang w:val="en-US" w:eastAsia="ru-RU"/>
        </w:rPr>
        <w:t>/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f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В формулах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- внутренний диаметр обделки, </w:t>
      </w:r>
      <w:proofErr w:type="gramStart"/>
      <w:r w:rsidRPr="000241F8">
        <w:rPr>
          <w:rFonts w:eastAsia="Times New Roman" w:cs="Times New Roman"/>
          <w:color w:val="auto"/>
          <w:szCs w:val="28"/>
          <w:lang w:eastAsia="ru-RU"/>
        </w:rPr>
        <w:t>м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</w:t>
      </w:r>
      <w:r w:rsidRPr="000241F8">
        <w:rPr>
          <w:rFonts w:eastAsia="Times New Roman" w:cs="Times New Roman"/>
          <w:color w:val="auto"/>
          <w:szCs w:val="28"/>
          <w:lang w:eastAsia="ru-RU"/>
        </w:rPr>
        <w:tab/>
        <w:t xml:space="preserve">Толщина сборных элементов для сводов обделки, опирающихся на массивные стены, назначается на 25… 30 % большей, чем это требуется для круговых обделок, при этом под </w:t>
      </w:r>
      <w:r w:rsidRPr="000241F8">
        <w:rPr>
          <w:rFonts w:eastAsia="Times New Roman" w:cs="Times New Roman"/>
          <w:color w:val="auto"/>
          <w:szCs w:val="28"/>
          <w:lang w:val="en-US" w:eastAsia="ru-RU"/>
        </w:rPr>
        <w:t>D</w:t>
      </w:r>
      <w:r w:rsidRPr="000241F8">
        <w:rPr>
          <w:rFonts w:eastAsia="Times New Roman" w:cs="Times New Roman"/>
          <w:color w:val="auto"/>
          <w:szCs w:val="28"/>
          <w:vertAlign w:val="subscript"/>
          <w:lang w:val="en-US" w:eastAsia="ru-RU"/>
        </w:rPr>
        <w:t>B</w:t>
      </w:r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в упомянутых формулах следует понимать пролёт свода обделки в свету.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В любом случае толщина монолитной бетонной обделки не может быть назначена менее 200 мм, Сборных железобетонных блоков или тюбингов – 150 мм.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Ширину сборных колец обделки (вдоль тоннеля) назначают 500, 750 или 1000 мм.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lastRenderedPageBreak/>
        <w:tab/>
        <w:t xml:space="preserve">Проектируя тоннель в обводнённых породах из монолитного бетона, следует назначать его внутреннее очертание с учётом устройства поддерживающей </w:t>
      </w:r>
      <w:proofErr w:type="spellStart"/>
      <w:r w:rsidRPr="000241F8">
        <w:rPr>
          <w:rFonts w:eastAsia="Times New Roman" w:cs="Times New Roman"/>
          <w:color w:val="auto"/>
          <w:szCs w:val="28"/>
          <w:lang w:eastAsia="ru-RU"/>
        </w:rPr>
        <w:t>оклеечную</w:t>
      </w:r>
      <w:proofErr w:type="spellEnd"/>
      <w:r w:rsidRPr="000241F8">
        <w:rPr>
          <w:rFonts w:eastAsia="Times New Roman" w:cs="Times New Roman"/>
          <w:color w:val="auto"/>
          <w:szCs w:val="28"/>
          <w:lang w:eastAsia="ru-RU"/>
        </w:rPr>
        <w:t xml:space="preserve"> гидроизоляцию конструкции из монолитного железобетона толщиной 150… 200 мм.</w:t>
      </w:r>
    </w:p>
    <w:p w:rsidR="000241F8" w:rsidRPr="000241F8" w:rsidRDefault="000241F8" w:rsidP="000241F8">
      <w:pPr>
        <w:spacing w:after="0" w:line="240" w:lineRule="auto"/>
        <w:jc w:val="both"/>
        <w:rPr>
          <w:rFonts w:eastAsia="Times New Roman" w:cs="Times New Roman"/>
          <w:color w:val="auto"/>
          <w:szCs w:val="28"/>
          <w:lang w:eastAsia="ru-RU"/>
        </w:rPr>
      </w:pPr>
      <w:r w:rsidRPr="000241F8">
        <w:rPr>
          <w:rFonts w:eastAsia="Times New Roman" w:cs="Times New Roman"/>
          <w:color w:val="auto"/>
          <w:szCs w:val="28"/>
          <w:lang w:eastAsia="ru-RU"/>
        </w:rPr>
        <w:tab/>
        <w:t>Проектируя внутреннее очертание нижней части транспортной зоны тоннеля, следует учитывать необходимость устройства у бортовых камней водосборных лотков открытого или закрытого типа. При этом суммарная площадь сечения двух лотков должна составлять 0.15 м</w:t>
      </w:r>
      <w:proofErr w:type="gramStart"/>
      <w:r w:rsidRPr="000241F8">
        <w:rPr>
          <w:rFonts w:eastAsia="Times New Roman" w:cs="Times New Roman"/>
          <w:color w:val="auto"/>
          <w:szCs w:val="28"/>
          <w:vertAlign w:val="superscript"/>
          <w:lang w:eastAsia="ru-RU"/>
        </w:rPr>
        <w:t>2</w:t>
      </w:r>
      <w:proofErr w:type="gramEnd"/>
      <w:r w:rsidRPr="000241F8">
        <w:rPr>
          <w:rFonts w:eastAsia="Times New Roman" w:cs="Times New Roman"/>
          <w:color w:val="auto"/>
          <w:szCs w:val="28"/>
          <w:lang w:eastAsia="ru-RU"/>
        </w:rPr>
        <w:t>. При двухскатном поперечном профиле проезжей части тоннеля эта площадь распределяется между парой лотков равномерно, а при односкатном поперечном профиле на кривых участках трассы – в соотношении 1: 4.</w:t>
      </w:r>
      <w:r w:rsidRPr="000241F8">
        <w:rPr>
          <w:rFonts w:eastAsia="Times New Roman" w:cs="Times New Roman"/>
          <w:color w:val="auto"/>
          <w:szCs w:val="28"/>
          <w:lang w:eastAsia="ru-RU"/>
        </w:rPr>
        <w:tab/>
        <w:t>Примеры конструкций тоннельных обделок приведены на рисунках 4.3 – 4.10.</w:t>
      </w:r>
    </w:p>
    <w:p w:rsidR="000241F8" w:rsidRDefault="000241F8" w:rsidP="00B162F1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3742012" cy="4820355"/>
            <wp:effectExtent l="0" t="0" r="0" b="0"/>
            <wp:docPr id="8" name="Рисунок 8" descr="C:\Users\1\Desktop\Лекции ИСТС 2016\Новая папка\фото\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Лекции ИСТС 2016\Новая папка\фото\2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54" t="10012" r="6811" b="17732"/>
                    <a:stretch/>
                  </pic:blipFill>
                  <pic:spPr bwMode="auto">
                    <a:xfrm>
                      <a:off x="0" y="0"/>
                      <a:ext cx="3746804" cy="482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41F8" w:rsidRDefault="000241F8" w:rsidP="00B162F1">
      <w:pPr>
        <w:spacing w:after="0" w:line="240" w:lineRule="auto"/>
        <w:jc w:val="center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74274" cy="3815644"/>
            <wp:effectExtent l="0" t="0" r="3175" b="0"/>
            <wp:docPr id="9" name="Рисунок 9" descr="C:\Users\1\Desktop\Лекции ИСТС 2016\Новая папка\фото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Лекции ИСТС 2016\Новая папка\фото\image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906" cy="381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41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241F8"/>
    <w:rsid w:val="000C624E"/>
    <w:rsid w:val="00307F04"/>
    <w:rsid w:val="003661EF"/>
    <w:rsid w:val="0043442A"/>
    <w:rsid w:val="005143C2"/>
    <w:rsid w:val="00672B20"/>
    <w:rsid w:val="006A23CD"/>
    <w:rsid w:val="00736512"/>
    <w:rsid w:val="008127FF"/>
    <w:rsid w:val="00902F8C"/>
    <w:rsid w:val="00B162F1"/>
    <w:rsid w:val="00CF5CC9"/>
    <w:rsid w:val="00DC2822"/>
    <w:rsid w:val="00E6586F"/>
    <w:rsid w:val="00F9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241F8"/>
    <w:pPr>
      <w:spacing w:after="0" w:line="240" w:lineRule="auto"/>
    </w:pPr>
    <w:rPr>
      <w:rFonts w:eastAsia="Times New Roman" w:cs="Times New Roman"/>
      <w:color w:val="auto"/>
      <w:sz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0241F8"/>
    <w:pPr>
      <w:spacing w:after="0" w:line="240" w:lineRule="auto"/>
    </w:pPr>
    <w:rPr>
      <w:rFonts w:eastAsia="Times New Roman" w:cs="Times New Roman"/>
      <w:color w:val="auto"/>
      <w:sz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970</Words>
  <Characters>5532</Characters>
  <Application>Microsoft Office Word</Application>
  <DocSecurity>0</DocSecurity>
  <Lines>46</Lines>
  <Paragraphs>12</Paragraphs>
  <ScaleCrop>false</ScaleCrop>
  <Company/>
  <LinksUpToDate>false</LinksUpToDate>
  <CharactersWithSpaces>6490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13</cp:revision>
  <dcterms:created xsi:type="dcterms:W3CDTF">2016-10-10T12:54:00Z</dcterms:created>
  <dcterms:modified xsi:type="dcterms:W3CDTF">2016-10-10T15:01:00Z</dcterms:modified>
</cp:coreProperties>
</file>